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8" w:rsidRPr="00F9541E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9A6F84" w:rsidRPr="00F9541E" w:rsidRDefault="009A6F84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A51162" w:rsidRPr="00F9541E" w:rsidRDefault="00A51162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A51162" w:rsidRPr="00F9541E" w:rsidRDefault="00A51162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A51162" w:rsidRPr="00F9541E" w:rsidRDefault="00A51162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  <w:r w:rsidRPr="00F9541E">
        <w:rPr>
          <w:rFonts w:eastAsia="Times New Roman" w:cstheme="minorHAnsi"/>
          <w:b/>
          <w:noProof/>
          <w:sz w:val="32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414E39D7" wp14:editId="710DCCC9">
            <wp:simplePos x="0" y="0"/>
            <wp:positionH relativeFrom="column">
              <wp:posOffset>-4445</wp:posOffset>
            </wp:positionH>
            <wp:positionV relativeFrom="paragraph">
              <wp:posOffset>-1004570</wp:posOffset>
            </wp:positionV>
            <wp:extent cx="5488564" cy="1152525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DE-logo-norm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56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62" w:rsidRPr="00F9541E" w:rsidRDefault="00A51162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  <w:r w:rsidRPr="00F9541E">
        <w:rPr>
          <w:rFonts w:eastAsia="Times New Roman" w:cstheme="minorHAnsi"/>
          <w:b/>
          <w:sz w:val="32"/>
          <w:lang w:val="nb-NO"/>
        </w:rPr>
        <w:t>Referat fra møte i Rådet for dyreetikk</w:t>
      </w: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F9541E">
        <w:rPr>
          <w:rFonts w:eastAsia="Times New Roman" w:cstheme="minorHAnsi"/>
          <w:b/>
          <w:lang w:val="nb-NO"/>
        </w:rPr>
        <w:t xml:space="preserve">Sted og dato: </w:t>
      </w: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Style w:val="st1"/>
          <w:rFonts w:cstheme="minorHAnsi"/>
          <w:bCs/>
          <w:lang w:val="nb-NO"/>
        </w:rPr>
        <w:t>Veterinærinstituttet i Oslo</w:t>
      </w:r>
      <w:r w:rsidRPr="00F9541E">
        <w:rPr>
          <w:rFonts w:eastAsia="Times New Roman" w:cstheme="minorHAnsi"/>
          <w:lang w:val="nb-NO"/>
        </w:rPr>
        <w:t xml:space="preserve">, </w:t>
      </w:r>
      <w:r w:rsidR="00F9541E" w:rsidRPr="00F9541E">
        <w:rPr>
          <w:rFonts w:eastAsia="Times New Roman" w:cstheme="minorHAnsi"/>
          <w:color w:val="000000"/>
          <w:lang w:val="nb-NO"/>
        </w:rPr>
        <w:t>mandag 12</w:t>
      </w:r>
      <w:r w:rsidRPr="00F9541E">
        <w:rPr>
          <w:rFonts w:eastAsia="Times New Roman" w:cstheme="minorHAnsi"/>
          <w:color w:val="000000"/>
          <w:lang w:val="nb-NO"/>
        </w:rPr>
        <w:t xml:space="preserve">. </w:t>
      </w:r>
      <w:r w:rsidR="00F9541E">
        <w:rPr>
          <w:rFonts w:eastAsia="Times New Roman" w:cstheme="minorHAnsi"/>
          <w:color w:val="000000"/>
          <w:lang w:val="nb-NO"/>
        </w:rPr>
        <w:t xml:space="preserve">februar </w:t>
      </w:r>
      <w:r w:rsidR="00F9541E" w:rsidRPr="00F9541E">
        <w:rPr>
          <w:rFonts w:eastAsia="Times New Roman" w:cstheme="minorHAnsi"/>
          <w:color w:val="000000"/>
          <w:lang w:val="nb-NO"/>
        </w:rPr>
        <w:t>2018</w:t>
      </w:r>
      <w:r w:rsidRPr="00F9541E">
        <w:rPr>
          <w:rFonts w:eastAsia="Times New Roman" w:cstheme="minorHAnsi"/>
          <w:lang w:val="nb-NO"/>
        </w:rPr>
        <w:t xml:space="preserve"> kl. 10.00-15.</w:t>
      </w:r>
      <w:r w:rsidR="00F9541E">
        <w:rPr>
          <w:rFonts w:eastAsia="Times New Roman" w:cstheme="minorHAnsi"/>
          <w:lang w:val="nb-NO"/>
        </w:rPr>
        <w:t>0</w:t>
      </w:r>
      <w:r w:rsidRPr="00F9541E">
        <w:rPr>
          <w:rFonts w:eastAsia="Times New Roman" w:cstheme="minorHAnsi"/>
          <w:lang w:val="nb-NO"/>
        </w:rPr>
        <w:t>0.</w:t>
      </w: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  <w:sectPr w:rsidR="00824928" w:rsidRPr="00F9541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F9541E">
        <w:rPr>
          <w:rFonts w:eastAsia="Times New Roman" w:cstheme="minorHAnsi"/>
          <w:b/>
          <w:lang w:val="nb-NO"/>
        </w:rPr>
        <w:lastRenderedPageBreak/>
        <w:t>Tilstede:</w:t>
      </w:r>
    </w:p>
    <w:p w:rsidR="001428D1" w:rsidRPr="00F9541E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>Inger Lise Andersen</w:t>
      </w:r>
      <w:r w:rsidR="00F9541E">
        <w:rPr>
          <w:rFonts w:eastAsia="Times New Roman" w:cstheme="minorHAnsi"/>
          <w:lang w:val="nb-NO"/>
        </w:rPr>
        <w:t xml:space="preserve"> (via </w:t>
      </w:r>
      <w:proofErr w:type="spellStart"/>
      <w:r w:rsidR="00F9541E">
        <w:rPr>
          <w:rFonts w:eastAsia="Times New Roman" w:cstheme="minorHAnsi"/>
          <w:lang w:val="nb-NO"/>
        </w:rPr>
        <w:t>Skype</w:t>
      </w:r>
      <w:proofErr w:type="spellEnd"/>
      <w:r w:rsidR="00F9541E">
        <w:rPr>
          <w:rFonts w:eastAsia="Times New Roman" w:cstheme="minorHAnsi"/>
          <w:lang w:val="nb-NO"/>
        </w:rPr>
        <w:t>)</w:t>
      </w:r>
    </w:p>
    <w:p w:rsidR="00F9541E" w:rsidRPr="00F9541E" w:rsidRDefault="00F9541E" w:rsidP="00F9541E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>Grete Bæverfjord</w:t>
      </w:r>
    </w:p>
    <w:p w:rsidR="001428D1" w:rsidRPr="00F9541E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>Einar Frogner</w:t>
      </w: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>Marit Bærøe</w:t>
      </w:r>
    </w:p>
    <w:p w:rsidR="001428D1" w:rsidRPr="00F9541E" w:rsidRDefault="001428D1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>Morten Tønnessen</w:t>
      </w: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>Thomas Torgersen</w:t>
      </w:r>
    </w:p>
    <w:p w:rsidR="001428D1" w:rsidRPr="00F9541E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>Guri Larsen</w:t>
      </w: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>Kristian Ellingsen-</w:t>
      </w:r>
      <w:proofErr w:type="spellStart"/>
      <w:r w:rsidRPr="00F9541E">
        <w:rPr>
          <w:rFonts w:eastAsia="Times New Roman" w:cstheme="minorHAnsi"/>
          <w:lang w:val="nb-NO"/>
        </w:rPr>
        <w:t>Dalskau</w:t>
      </w:r>
      <w:proofErr w:type="spellEnd"/>
      <w:r w:rsidRPr="00F9541E">
        <w:rPr>
          <w:rFonts w:eastAsia="Times New Roman" w:cstheme="minorHAnsi"/>
          <w:lang w:val="nb-NO"/>
        </w:rPr>
        <w:t xml:space="preserve"> (sekretær)</w:t>
      </w:r>
    </w:p>
    <w:p w:rsidR="001428D1" w:rsidRPr="00F9541E" w:rsidRDefault="001428D1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F9541E" w:rsidRDefault="00F9541E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F9541E">
        <w:rPr>
          <w:rFonts w:eastAsia="Times New Roman" w:cstheme="minorHAnsi"/>
          <w:b/>
          <w:lang w:val="nb-NO"/>
        </w:rPr>
        <w:lastRenderedPageBreak/>
        <w:t>Forfall:</w:t>
      </w:r>
    </w:p>
    <w:p w:rsidR="00F9541E" w:rsidRPr="00F9541E" w:rsidRDefault="00F9541E" w:rsidP="00F9541E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>Bjørn Ramberg</w:t>
      </w: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>Randi Moe</w:t>
      </w:r>
    </w:p>
    <w:p w:rsidR="001428D1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  <w:r w:rsidRPr="00F9541E">
        <w:rPr>
          <w:rFonts w:eastAsia="Times New Roman" w:cstheme="minorHAnsi"/>
          <w:lang w:val="nb-NO"/>
        </w:rPr>
        <w:t xml:space="preserve">Stine </w:t>
      </w:r>
      <w:proofErr w:type="spellStart"/>
      <w:r w:rsidRPr="00F9541E">
        <w:rPr>
          <w:rFonts w:eastAsia="Times New Roman" w:cstheme="minorHAnsi"/>
          <w:lang w:val="nb-NO"/>
        </w:rPr>
        <w:t>Vhile</w:t>
      </w:r>
      <w:proofErr w:type="spellEnd"/>
    </w:p>
    <w:p w:rsidR="00F9541E" w:rsidRPr="00F9541E" w:rsidRDefault="00F9541E" w:rsidP="001428D1">
      <w:pPr>
        <w:spacing w:after="0" w:line="300" w:lineRule="exact"/>
        <w:rPr>
          <w:rFonts w:eastAsia="Times New Roman" w:cstheme="minorHAnsi"/>
          <w:lang w:val="nb-NO"/>
        </w:rPr>
      </w:pPr>
      <w:r>
        <w:rPr>
          <w:rFonts w:eastAsia="Times New Roman" w:cstheme="minorHAnsi"/>
          <w:lang w:val="nb-NO"/>
        </w:rPr>
        <w:t>Andreas Føllesdal</w:t>
      </w:r>
    </w:p>
    <w:p w:rsidR="001428D1" w:rsidRPr="00F9541E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</w:p>
    <w:p w:rsidR="001428D1" w:rsidRPr="00F9541E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</w:p>
    <w:p w:rsidR="001428D1" w:rsidRPr="00F9541E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</w:p>
    <w:p w:rsidR="001428D1" w:rsidRPr="00F9541E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lang w:val="nb-NO"/>
        </w:rPr>
        <w:sectPr w:rsidR="00824928" w:rsidRPr="00F9541E" w:rsidSect="008249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4928" w:rsidRPr="00F9541E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5604"/>
        <w:gridCol w:w="1346"/>
      </w:tblGrid>
      <w:tr w:rsidR="00824928" w:rsidRPr="00F9541E" w:rsidTr="00A735DA">
        <w:tc>
          <w:tcPr>
            <w:tcW w:w="496" w:type="dxa"/>
          </w:tcPr>
          <w:p w:rsidR="00824928" w:rsidRPr="00F9541E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Nr.</w:t>
            </w:r>
          </w:p>
        </w:tc>
        <w:tc>
          <w:tcPr>
            <w:tcW w:w="1767" w:type="dxa"/>
          </w:tcPr>
          <w:p w:rsidR="00824928" w:rsidRPr="00F9541E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Sak</w:t>
            </w:r>
          </w:p>
        </w:tc>
        <w:tc>
          <w:tcPr>
            <w:tcW w:w="5604" w:type="dxa"/>
          </w:tcPr>
          <w:p w:rsidR="00824928" w:rsidRPr="00F9541E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Konklusjon</w:t>
            </w:r>
          </w:p>
        </w:tc>
        <w:tc>
          <w:tcPr>
            <w:tcW w:w="1346" w:type="dxa"/>
          </w:tcPr>
          <w:p w:rsidR="00824928" w:rsidRPr="00F9541E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Ansvarlig for oppfølgning</w:t>
            </w:r>
          </w:p>
        </w:tc>
      </w:tr>
      <w:tr w:rsidR="00824928" w:rsidRPr="00F9541E" w:rsidTr="00A735DA">
        <w:tc>
          <w:tcPr>
            <w:tcW w:w="496" w:type="dxa"/>
          </w:tcPr>
          <w:p w:rsidR="00824928" w:rsidRPr="00F9541E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1</w:t>
            </w:r>
          </w:p>
        </w:tc>
        <w:tc>
          <w:tcPr>
            <w:tcW w:w="1767" w:type="dxa"/>
          </w:tcPr>
          <w:p w:rsidR="00824928" w:rsidRPr="00F9541E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Godkjenning av møteinnkallingen og sakslisten</w:t>
            </w:r>
          </w:p>
        </w:tc>
        <w:tc>
          <w:tcPr>
            <w:tcW w:w="5604" w:type="dxa"/>
          </w:tcPr>
          <w:p w:rsidR="00824928" w:rsidRDefault="00F9541E" w:rsidP="00F9541E">
            <w:pPr>
              <w:pStyle w:val="Listeavsnitt"/>
              <w:numPr>
                <w:ilvl w:val="0"/>
                <w:numId w:val="38"/>
              </w:numPr>
              <w:rPr>
                <w:lang w:val="nb-NO"/>
              </w:rPr>
            </w:pPr>
            <w:r w:rsidRPr="00F9541E">
              <w:rPr>
                <w:lang w:val="nb-NO"/>
              </w:rPr>
              <w:t xml:space="preserve">I referatet fra møtet 20. november sto det at </w:t>
            </w:r>
            <w:r>
              <w:rPr>
                <w:lang w:val="nb-NO"/>
              </w:rPr>
              <w:t xml:space="preserve">RDE skulle ha en prinsipiell diskusjon hvorvidt våre etiske vurderinger skulle ta hensyn til næringen. </w:t>
            </w:r>
            <w:r w:rsidR="004E2014">
              <w:rPr>
                <w:lang w:val="nb-NO"/>
              </w:rPr>
              <w:t>Denne saken</w:t>
            </w:r>
            <w:r>
              <w:rPr>
                <w:lang w:val="nb-NO"/>
              </w:rPr>
              <w:t xml:space="preserve"> er ikke på agendaen, men vil bli satt opp som sak 24. mai</w:t>
            </w:r>
          </w:p>
          <w:p w:rsidR="0040260D" w:rsidRPr="00F9541E" w:rsidRDefault="0040260D" w:rsidP="00F9541E">
            <w:pPr>
              <w:pStyle w:val="Listeavsnitt"/>
              <w:numPr>
                <w:ilvl w:val="0"/>
                <w:numId w:val="38"/>
              </w:numPr>
              <w:rPr>
                <w:lang w:val="nb-NO"/>
              </w:rPr>
            </w:pPr>
            <w:r>
              <w:rPr>
                <w:lang w:val="nb-NO"/>
              </w:rPr>
              <w:t>ILA forbereder problemstillinger knyttet til denne diskusjonen</w:t>
            </w:r>
          </w:p>
        </w:tc>
        <w:tc>
          <w:tcPr>
            <w:tcW w:w="1346" w:type="dxa"/>
          </w:tcPr>
          <w:p w:rsidR="00824928" w:rsidRPr="00F9541E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40260D" w:rsidRDefault="0040260D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40260D" w:rsidRDefault="0040260D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40260D" w:rsidRDefault="0040260D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40260D" w:rsidRDefault="0040260D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Pr="00F9541E" w:rsidRDefault="0040260D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ILA</w:t>
            </w:r>
          </w:p>
        </w:tc>
      </w:tr>
      <w:tr w:rsidR="00824928" w:rsidRPr="00F9541E" w:rsidTr="00A735DA">
        <w:tc>
          <w:tcPr>
            <w:tcW w:w="496" w:type="dxa"/>
          </w:tcPr>
          <w:p w:rsidR="00824928" w:rsidRPr="00F9541E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2</w:t>
            </w:r>
          </w:p>
        </w:tc>
        <w:tc>
          <w:tcPr>
            <w:tcW w:w="1767" w:type="dxa"/>
          </w:tcPr>
          <w:p w:rsidR="00824928" w:rsidRPr="00F9541E" w:rsidRDefault="007E5839" w:rsidP="004E2014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 xml:space="preserve">Godkjenning av møtereferat fra </w:t>
            </w:r>
            <w:r w:rsidR="004E2014">
              <w:rPr>
                <w:rFonts w:eastAsia="Times New Roman" w:cstheme="minorHAnsi"/>
                <w:b/>
                <w:lang w:val="nb-NO"/>
              </w:rPr>
              <w:t>20</w:t>
            </w:r>
            <w:r w:rsidR="00824928" w:rsidRPr="00F9541E">
              <w:rPr>
                <w:rFonts w:eastAsia="Times New Roman" w:cstheme="minorHAnsi"/>
                <w:b/>
                <w:lang w:val="nb-NO"/>
              </w:rPr>
              <w:t xml:space="preserve">. </w:t>
            </w:r>
            <w:r w:rsidR="004E2014">
              <w:rPr>
                <w:rFonts w:eastAsia="Times New Roman" w:cstheme="minorHAnsi"/>
                <w:b/>
                <w:lang w:val="nb-NO"/>
              </w:rPr>
              <w:t>nov</w:t>
            </w:r>
            <w:r w:rsidR="00C24392" w:rsidRPr="00F9541E">
              <w:rPr>
                <w:rFonts w:eastAsia="Times New Roman" w:cstheme="minorHAnsi"/>
                <w:b/>
                <w:lang w:val="nb-NO"/>
              </w:rPr>
              <w:t xml:space="preserve"> </w:t>
            </w:r>
            <w:r w:rsidR="00824928" w:rsidRPr="00F9541E">
              <w:rPr>
                <w:rFonts w:eastAsia="Times New Roman" w:cstheme="minorHAnsi"/>
                <w:b/>
                <w:lang w:val="nb-NO"/>
              </w:rPr>
              <w:t>201</w:t>
            </w:r>
            <w:r w:rsidRPr="00F9541E">
              <w:rPr>
                <w:rFonts w:eastAsia="Times New Roman" w:cstheme="minorHAnsi"/>
                <w:b/>
                <w:lang w:val="nb-NO"/>
              </w:rPr>
              <w:t>7</w:t>
            </w:r>
          </w:p>
        </w:tc>
        <w:tc>
          <w:tcPr>
            <w:tcW w:w="5604" w:type="dxa"/>
          </w:tcPr>
          <w:p w:rsidR="007E5839" w:rsidRPr="00F9541E" w:rsidRDefault="00F9541E" w:rsidP="00B129F5">
            <w:pPr>
              <w:pStyle w:val="Listeavsnitt"/>
              <w:numPr>
                <w:ilvl w:val="0"/>
                <w:numId w:val="29"/>
              </w:numPr>
              <w:spacing w:after="0" w:line="300" w:lineRule="exact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Go</w:t>
            </w:r>
            <w:r w:rsidR="004E2014">
              <w:rPr>
                <w:rFonts w:eastAsia="Times New Roman" w:cstheme="minorHAnsi"/>
                <w:lang w:val="nb-NO"/>
              </w:rPr>
              <w:t>dkjent uten kommentarer</w:t>
            </w:r>
          </w:p>
        </w:tc>
        <w:tc>
          <w:tcPr>
            <w:tcW w:w="1346" w:type="dxa"/>
          </w:tcPr>
          <w:p w:rsidR="00824928" w:rsidRPr="00F9541E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</w:tbl>
    <w:p w:rsidR="00C15EEB" w:rsidRDefault="00C15EEB">
      <w:r>
        <w:br w:type="page"/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5604"/>
        <w:gridCol w:w="1346"/>
      </w:tblGrid>
      <w:tr w:rsidR="00824928" w:rsidRPr="00F9541E" w:rsidTr="00A735DA">
        <w:tc>
          <w:tcPr>
            <w:tcW w:w="496" w:type="dxa"/>
          </w:tcPr>
          <w:p w:rsidR="00824928" w:rsidRPr="00F9541E" w:rsidRDefault="005E48E0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lang w:val="nb-NO"/>
              </w:rPr>
              <w:lastRenderedPageBreak/>
              <w:br w:type="page"/>
            </w:r>
            <w:r w:rsidR="00824928" w:rsidRPr="00F9541E">
              <w:rPr>
                <w:rFonts w:eastAsia="Times New Roman" w:cstheme="minorHAnsi"/>
                <w:b/>
                <w:lang w:val="nb-NO"/>
              </w:rPr>
              <w:t>3</w:t>
            </w:r>
          </w:p>
        </w:tc>
        <w:tc>
          <w:tcPr>
            <w:tcW w:w="1767" w:type="dxa"/>
          </w:tcPr>
          <w:p w:rsidR="00824928" w:rsidRPr="00F9541E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Sekretariatet informerer</w:t>
            </w:r>
          </w:p>
        </w:tc>
        <w:tc>
          <w:tcPr>
            <w:tcW w:w="5604" w:type="dxa"/>
          </w:tcPr>
          <w:p w:rsidR="00E22B73" w:rsidRPr="00F9541E" w:rsidRDefault="004E2014" w:rsidP="007E5839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>
              <w:rPr>
                <w:rFonts w:eastAsia="Times New Roman" w:cstheme="minorHAnsi"/>
                <w:u w:val="single"/>
                <w:lang w:val="nb-NO"/>
              </w:rPr>
              <w:t>Årsrapport 2017</w:t>
            </w:r>
          </w:p>
          <w:p w:rsidR="00DC5EB5" w:rsidRPr="00F9541E" w:rsidRDefault="004E2014" w:rsidP="00DC5EB5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Årsrapporten er ikke klar ennå, men </w:t>
            </w:r>
            <w:r w:rsidR="00D54D82">
              <w:rPr>
                <w:rFonts w:eastAsia="Times New Roman" w:cstheme="minorHAnsi"/>
                <w:lang w:val="nb-NO"/>
              </w:rPr>
              <w:t xml:space="preserve">sendes ut så fort den er </w:t>
            </w:r>
            <w:r>
              <w:rPr>
                <w:rFonts w:eastAsia="Times New Roman" w:cstheme="minorHAnsi"/>
                <w:lang w:val="nb-NO"/>
              </w:rPr>
              <w:t>ferdigstil</w:t>
            </w:r>
            <w:r w:rsidR="00D54D82">
              <w:rPr>
                <w:rFonts w:eastAsia="Times New Roman" w:cstheme="minorHAnsi"/>
                <w:lang w:val="nb-NO"/>
              </w:rPr>
              <w:t>t</w:t>
            </w:r>
            <w:r>
              <w:rPr>
                <w:rFonts w:eastAsia="Times New Roman" w:cstheme="minorHAnsi"/>
                <w:lang w:val="nb-NO"/>
              </w:rPr>
              <w:t xml:space="preserve">. </w:t>
            </w:r>
          </w:p>
          <w:p w:rsidR="00C24392" w:rsidRPr="00F9541E" w:rsidRDefault="004E2014" w:rsidP="00C24392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>
              <w:rPr>
                <w:rFonts w:eastAsia="Times New Roman" w:cstheme="minorHAnsi"/>
                <w:u w:val="single"/>
                <w:lang w:val="nb-NO"/>
              </w:rPr>
              <w:t>Økonomi og drift</w:t>
            </w:r>
            <w:r w:rsidR="00C24392" w:rsidRPr="00F9541E">
              <w:rPr>
                <w:rFonts w:eastAsia="Times New Roman" w:cstheme="minorHAnsi"/>
                <w:u w:val="single"/>
                <w:lang w:val="nb-NO"/>
              </w:rPr>
              <w:t xml:space="preserve"> 2018</w:t>
            </w:r>
          </w:p>
          <w:p w:rsidR="00FB587D" w:rsidRDefault="004E2014" w:rsidP="00FB587D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Selv om videre drift av RDE var utelatt fra statsbudsjettet, var det nevnt i </w:t>
            </w:r>
            <w:r w:rsidRPr="004E2014">
              <w:rPr>
                <w:rFonts w:eastAsia="Times New Roman" w:cstheme="minorHAnsi"/>
                <w:lang w:val="nb-NO"/>
              </w:rPr>
              <w:t>Veterinærinstituttet</w:t>
            </w:r>
            <w:r>
              <w:rPr>
                <w:rFonts w:eastAsia="Times New Roman" w:cstheme="minorHAnsi"/>
                <w:lang w:val="nb-NO"/>
              </w:rPr>
              <w:t>s tildelingsbrev. Driften vil derfor fortsette som normalt.</w:t>
            </w:r>
          </w:p>
          <w:p w:rsidR="004E2014" w:rsidRPr="00D54D82" w:rsidRDefault="004E2014" w:rsidP="00FB587D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 w:rsidRPr="00D54D82">
              <w:rPr>
                <w:rFonts w:eastAsia="Times New Roman" w:cstheme="minorHAnsi"/>
                <w:lang w:val="nb-NO"/>
              </w:rPr>
              <w:t>Det er foreløpig ukjent hvor stort driftsbudsjettet for 2018 blir. Ettersom Mattilsynet har fått kutt i sine budsjetter, er det mulig at RDE også får kutt i sitt budsjett. Sekretær informerer medlemmene så fort opplysningene kommer fra Mattilsynet.</w:t>
            </w:r>
          </w:p>
          <w:p w:rsidR="00C24392" w:rsidRPr="00F9541E" w:rsidRDefault="004E2014" w:rsidP="00C24392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>
              <w:rPr>
                <w:rFonts w:eastAsia="Times New Roman" w:cstheme="minorHAnsi"/>
                <w:u w:val="single"/>
                <w:lang w:val="nb-NO"/>
              </w:rPr>
              <w:t>Havbruk 2030</w:t>
            </w:r>
          </w:p>
          <w:p w:rsidR="00FB587D" w:rsidRDefault="004E2014" w:rsidP="00F9541E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ILA og GB orienterte om sin deltakelse på Havbruk 2030 i regi av Sjømat Norge. </w:t>
            </w:r>
          </w:p>
          <w:p w:rsidR="004E2014" w:rsidRDefault="004E2014" w:rsidP="00F9541E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De var godt fornøyde med diskusjonene og temaene som ble tatt opp, men savnet mer konkrete/mer spissede velferdspunkter å jobbe videre med.</w:t>
            </w:r>
          </w:p>
          <w:p w:rsidR="004E2014" w:rsidRDefault="004E2014" w:rsidP="00F9541E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Arrangørene var </w:t>
            </w:r>
            <w:proofErr w:type="gramStart"/>
            <w:r>
              <w:rPr>
                <w:rFonts w:eastAsia="Times New Roman" w:cstheme="minorHAnsi"/>
                <w:lang w:val="nb-NO"/>
              </w:rPr>
              <w:t>godt</w:t>
            </w:r>
            <w:proofErr w:type="gramEnd"/>
            <w:r>
              <w:rPr>
                <w:rFonts w:eastAsia="Times New Roman" w:cstheme="minorHAnsi"/>
                <w:lang w:val="nb-NO"/>
              </w:rPr>
              <w:t xml:space="preserve"> fornød med møtet, spesielt med </w:t>
            </w:r>
            <w:proofErr w:type="spellStart"/>
            <w:r>
              <w:rPr>
                <w:rFonts w:eastAsia="Times New Roman" w:cstheme="minorHAnsi"/>
                <w:lang w:val="nb-NO"/>
              </w:rPr>
              <w:t>RDEs</w:t>
            </w:r>
            <w:proofErr w:type="spellEnd"/>
            <w:r>
              <w:rPr>
                <w:rFonts w:eastAsia="Times New Roman" w:cstheme="minorHAnsi"/>
                <w:lang w:val="nb-NO"/>
              </w:rPr>
              <w:t xml:space="preserve"> deltakelse.</w:t>
            </w:r>
          </w:p>
          <w:p w:rsidR="004E2014" w:rsidRPr="00555A78" w:rsidRDefault="00D54D82" w:rsidP="00D54D82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Det finnes </w:t>
            </w:r>
            <w:r w:rsidR="00555A78">
              <w:rPr>
                <w:rFonts w:eastAsia="Times New Roman" w:cstheme="minorHAnsi"/>
                <w:lang w:val="nb-NO"/>
              </w:rPr>
              <w:t xml:space="preserve">mange paralleller mellom dyrevelferdsutfordringer på landdyr og fisk. </w:t>
            </w:r>
            <w:r>
              <w:rPr>
                <w:rFonts w:eastAsia="Times New Roman" w:cstheme="minorHAnsi"/>
                <w:lang w:val="nb-NO"/>
              </w:rPr>
              <w:t>ILA</w:t>
            </w:r>
            <w:r w:rsidR="00555A78">
              <w:rPr>
                <w:rFonts w:eastAsia="Times New Roman" w:cstheme="minorHAnsi"/>
                <w:lang w:val="nb-NO"/>
              </w:rPr>
              <w:t xml:space="preserve"> har </w:t>
            </w:r>
            <w:r>
              <w:rPr>
                <w:rFonts w:eastAsia="Times New Roman" w:cstheme="minorHAnsi"/>
                <w:lang w:val="nb-NO"/>
              </w:rPr>
              <w:t xml:space="preserve">fått antatt et </w:t>
            </w:r>
            <w:proofErr w:type="spellStart"/>
            <w:r>
              <w:rPr>
                <w:rFonts w:eastAsia="Times New Roman" w:cstheme="minorHAnsi"/>
                <w:lang w:val="nb-NO"/>
              </w:rPr>
              <w:t>abstract</w:t>
            </w:r>
            <w:proofErr w:type="spellEnd"/>
            <w:r w:rsidR="00555A78">
              <w:rPr>
                <w:rFonts w:eastAsia="Times New Roman" w:cstheme="minorHAnsi"/>
                <w:lang w:val="nb-NO"/>
              </w:rPr>
              <w:t xml:space="preserve"> til Havbruk 2018 18.-20. april og vil delta på konferansen.</w:t>
            </w:r>
            <w:r w:rsidR="004E2014" w:rsidRPr="00555A78">
              <w:rPr>
                <w:rFonts w:eastAsia="Times New Roman" w:cstheme="minorHAnsi"/>
                <w:lang w:val="nb-NO"/>
              </w:rPr>
              <w:t xml:space="preserve"> </w:t>
            </w:r>
          </w:p>
        </w:tc>
        <w:tc>
          <w:tcPr>
            <w:tcW w:w="1346" w:type="dxa"/>
          </w:tcPr>
          <w:p w:rsidR="001C5D29" w:rsidRPr="00F9541E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FB587D" w:rsidRDefault="00FB587D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55A78" w:rsidRPr="00F9541E" w:rsidRDefault="00555A78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ILA</w:t>
            </w:r>
          </w:p>
        </w:tc>
      </w:tr>
      <w:tr w:rsidR="00E65223" w:rsidRPr="00D54D82" w:rsidTr="00A735DA">
        <w:tc>
          <w:tcPr>
            <w:tcW w:w="496" w:type="dxa"/>
          </w:tcPr>
          <w:p w:rsidR="00E65223" w:rsidRPr="00F9541E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4</w:t>
            </w:r>
          </w:p>
        </w:tc>
        <w:tc>
          <w:tcPr>
            <w:tcW w:w="1767" w:type="dxa"/>
          </w:tcPr>
          <w:p w:rsidR="00E65223" w:rsidRPr="00F9541E" w:rsidRDefault="00555A7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Mulig uttalelse om oppdrettsfisk</w:t>
            </w:r>
          </w:p>
        </w:tc>
        <w:tc>
          <w:tcPr>
            <w:tcW w:w="5604" w:type="dxa"/>
          </w:tcPr>
          <w:p w:rsidR="00AD7817" w:rsidRPr="00F9541E" w:rsidRDefault="00555A78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Det var ønske om å fortsette å jobbe mot en uttalelse på oppdrettsfisk.</w:t>
            </w:r>
          </w:p>
          <w:p w:rsidR="00AC1253" w:rsidRDefault="00555A78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Vinkling er ikke helt på plass ennå, men uttalelsen kan in</w:t>
            </w:r>
            <w:r w:rsidR="00AC1253">
              <w:rPr>
                <w:lang w:val="nb-NO"/>
              </w:rPr>
              <w:t xml:space="preserve">neholde grunner til dødelighet og </w:t>
            </w:r>
            <w:r>
              <w:rPr>
                <w:lang w:val="nb-NO"/>
              </w:rPr>
              <w:t>mulighet for o</w:t>
            </w:r>
            <w:r w:rsidR="00AC1253">
              <w:rPr>
                <w:lang w:val="nb-NO"/>
              </w:rPr>
              <w:t>g viktigheten av</w:t>
            </w:r>
            <w:r>
              <w:rPr>
                <w:lang w:val="nb-NO"/>
              </w:rPr>
              <w:t xml:space="preserve"> å </w:t>
            </w:r>
            <w:r w:rsidR="00AC1253">
              <w:rPr>
                <w:lang w:val="nb-NO"/>
              </w:rPr>
              <w:t xml:space="preserve">få </w:t>
            </w:r>
            <w:r>
              <w:rPr>
                <w:lang w:val="nb-NO"/>
              </w:rPr>
              <w:t>dekke</w:t>
            </w:r>
            <w:r w:rsidR="00AC1253">
              <w:rPr>
                <w:lang w:val="nb-NO"/>
              </w:rPr>
              <w:t>t</w:t>
            </w:r>
            <w:r>
              <w:rPr>
                <w:lang w:val="nb-NO"/>
              </w:rPr>
              <w:t xml:space="preserve"> naturlige behov i oppdrett </w:t>
            </w:r>
          </w:p>
          <w:p w:rsidR="00AC1253" w:rsidRDefault="00AC1253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 xml:space="preserve">Kanskje kan dødelighet og </w:t>
            </w:r>
            <w:proofErr w:type="spellStart"/>
            <w:r>
              <w:rPr>
                <w:lang w:val="nb-NO"/>
              </w:rPr>
              <w:t>atferdsbehov</w:t>
            </w:r>
            <w:proofErr w:type="spellEnd"/>
            <w:r>
              <w:rPr>
                <w:lang w:val="nb-NO"/>
              </w:rPr>
              <w:t xml:space="preserve"> kobles sammen </w:t>
            </w:r>
          </w:p>
          <w:p w:rsidR="00AC1253" w:rsidRDefault="00AC1253" w:rsidP="00AC1253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 xml:space="preserve">Et annet viktig tema er velferdsutfordringer </w:t>
            </w:r>
            <w:proofErr w:type="gramStart"/>
            <w:r>
              <w:rPr>
                <w:lang w:val="nb-NO"/>
              </w:rPr>
              <w:t>og  -muligheter</w:t>
            </w:r>
            <w:proofErr w:type="gramEnd"/>
            <w:r>
              <w:rPr>
                <w:lang w:val="nb-NO"/>
              </w:rPr>
              <w:t xml:space="preserve"> i lukkede anlegg. Her vil driften være mer intensiv for å være økonomisk lønnsom med større grupper og høyere tetthet (anbefaling tre ganger så høy tetthet som i åpen merd). </w:t>
            </w:r>
          </w:p>
          <w:p w:rsidR="00B129F5" w:rsidRDefault="00AC1253" w:rsidP="00AC1253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AC1253">
              <w:rPr>
                <w:lang w:val="nb-NO"/>
              </w:rPr>
              <w:t xml:space="preserve">Tetthet og gruppestørrelse (sammen og hver </w:t>
            </w:r>
            <w:r>
              <w:rPr>
                <w:lang w:val="nb-NO"/>
              </w:rPr>
              <w:t xml:space="preserve">for seg) ikke relevant i </w:t>
            </w:r>
            <w:proofErr w:type="gramStart"/>
            <w:r>
              <w:rPr>
                <w:lang w:val="nb-NO"/>
              </w:rPr>
              <w:t>merd,  men</w:t>
            </w:r>
            <w:proofErr w:type="gramEnd"/>
            <w:r>
              <w:rPr>
                <w:lang w:val="nb-NO"/>
              </w:rPr>
              <w:t xml:space="preserve"> r</w:t>
            </w:r>
            <w:r w:rsidRPr="00AC1253">
              <w:rPr>
                <w:lang w:val="nb-NO"/>
              </w:rPr>
              <w:t xml:space="preserve">elevant i lukkede anlegg. </w:t>
            </w:r>
          </w:p>
          <w:p w:rsidR="00555A78" w:rsidRDefault="00555A78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For å skaffe opplysninger om grunner til dødelighet</w:t>
            </w:r>
          </w:p>
          <w:p w:rsidR="00555A78" w:rsidRDefault="00555A78" w:rsidP="00555A78">
            <w:pPr>
              <w:pStyle w:val="Listeavsnitt"/>
              <w:numPr>
                <w:ilvl w:val="1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 xml:space="preserve">KE kontakter Britt </w:t>
            </w:r>
            <w:proofErr w:type="spellStart"/>
            <w:r>
              <w:rPr>
                <w:lang w:val="nb-NO"/>
              </w:rPr>
              <w:t>Tørud</w:t>
            </w:r>
            <w:proofErr w:type="spellEnd"/>
            <w:r>
              <w:rPr>
                <w:lang w:val="nb-NO"/>
              </w:rPr>
              <w:t xml:space="preserve"> (</w:t>
            </w:r>
            <w:proofErr w:type="spellStart"/>
            <w:r>
              <w:rPr>
                <w:lang w:val="nb-NO"/>
              </w:rPr>
              <w:t>Veterinærinst</w:t>
            </w:r>
            <w:proofErr w:type="spellEnd"/>
            <w:r>
              <w:rPr>
                <w:lang w:val="nb-NO"/>
              </w:rPr>
              <w:t>)</w:t>
            </w:r>
          </w:p>
          <w:p w:rsidR="00555A78" w:rsidRDefault="00555A78" w:rsidP="00555A78">
            <w:pPr>
              <w:pStyle w:val="Listeavsnitt"/>
              <w:numPr>
                <w:ilvl w:val="1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GB kontakter Roy Robertsen</w:t>
            </w:r>
            <w:r w:rsidR="00AC1253">
              <w:rPr>
                <w:lang w:val="nb-NO"/>
              </w:rPr>
              <w:t xml:space="preserve"> (</w:t>
            </w:r>
            <w:proofErr w:type="spellStart"/>
            <w:r w:rsidR="00AC1253">
              <w:rPr>
                <w:lang w:val="nb-NO"/>
              </w:rPr>
              <w:t>Nofima</w:t>
            </w:r>
            <w:proofErr w:type="spellEnd"/>
            <w:r w:rsidR="00AC1253">
              <w:rPr>
                <w:lang w:val="nb-NO"/>
              </w:rPr>
              <w:t>)</w:t>
            </w:r>
          </w:p>
          <w:p w:rsidR="00AC1253" w:rsidRDefault="00AC1253" w:rsidP="00555A78">
            <w:pPr>
              <w:pStyle w:val="Listeavsnitt"/>
              <w:numPr>
                <w:ilvl w:val="1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TT kontakter Fiskeridirektoratet</w:t>
            </w:r>
          </w:p>
          <w:p w:rsidR="00AC1253" w:rsidRPr="00AC1253" w:rsidRDefault="00AC1253" w:rsidP="00555A78">
            <w:pPr>
              <w:pStyle w:val="Listeavsnitt"/>
              <w:numPr>
                <w:ilvl w:val="1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 xml:space="preserve">Mattilsynets rapport fra 2014: </w:t>
            </w:r>
            <w:hyperlink r:id="rId11" w:history="1">
              <w:r w:rsidRPr="00AC1253">
                <w:rPr>
                  <w:color w:val="3C59DC"/>
                  <w:sz w:val="24"/>
                  <w:lang w:val="nb-NO"/>
                </w:rPr>
                <w:t>https://www.mattilsynet.no/fisk_og_akvakultur/fiskevelferd/tap_av_laksefisk_i_sjo_rapport.15430/binary/Tap%20av%20laksefisk%20i%20sj%C3%B8%20rapport</w:t>
              </w:r>
            </w:hyperlink>
          </w:p>
          <w:p w:rsidR="00AC1253" w:rsidRPr="00F9541E" w:rsidRDefault="00C15EEB" w:rsidP="00AC1253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Målet er å ha et utkast klart for diskusjon til møtet 24. mai. Alle sender relevant informasjon til ILA som er ansvarlig for sammenskrivingen.</w:t>
            </w:r>
          </w:p>
        </w:tc>
        <w:tc>
          <w:tcPr>
            <w:tcW w:w="1346" w:type="dxa"/>
          </w:tcPr>
          <w:p w:rsidR="00E65223" w:rsidRPr="00F9541E" w:rsidRDefault="00E6522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D7817" w:rsidRPr="00F9541E" w:rsidRDefault="00AD7817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D7817" w:rsidRPr="00F9541E" w:rsidRDefault="00AD7817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129F5" w:rsidRPr="00F9541E" w:rsidRDefault="00B129F5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129F5" w:rsidRPr="00F9541E" w:rsidRDefault="00B129F5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129F5" w:rsidRPr="00F9541E" w:rsidRDefault="00B129F5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129F5" w:rsidRDefault="00B129F5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GB</w:t>
            </w:r>
          </w:p>
          <w:p w:rsidR="00AC1253" w:rsidRDefault="00AC125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TT</w:t>
            </w:r>
          </w:p>
          <w:p w:rsidR="00C15EEB" w:rsidRDefault="00C15EEB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C15EEB" w:rsidRDefault="00C15EEB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C15EEB" w:rsidRDefault="00C15EEB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C15EEB" w:rsidRDefault="00C15EEB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C15EEB" w:rsidRDefault="00C15EEB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C15EEB" w:rsidRDefault="00C15EEB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C15EEB" w:rsidRDefault="00C15EEB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Alle</w:t>
            </w:r>
          </w:p>
          <w:p w:rsidR="00C15EEB" w:rsidRPr="00F9541E" w:rsidRDefault="00C15EEB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ILA</w:t>
            </w:r>
          </w:p>
        </w:tc>
      </w:tr>
      <w:tr w:rsidR="00824928" w:rsidRPr="00F9541E" w:rsidTr="00A735DA">
        <w:tc>
          <w:tcPr>
            <w:tcW w:w="496" w:type="dxa"/>
          </w:tcPr>
          <w:p w:rsidR="00824928" w:rsidRPr="00F9541E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lastRenderedPageBreak/>
              <w:t>5</w:t>
            </w:r>
          </w:p>
        </w:tc>
        <w:tc>
          <w:tcPr>
            <w:tcW w:w="1767" w:type="dxa"/>
          </w:tcPr>
          <w:p w:rsidR="00824928" w:rsidRPr="00F9541E" w:rsidRDefault="00127C6D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Mulig uttalelse om merking av rovpattedyr</w:t>
            </w:r>
          </w:p>
        </w:tc>
        <w:tc>
          <w:tcPr>
            <w:tcW w:w="5604" w:type="dxa"/>
          </w:tcPr>
          <w:p w:rsidR="00B129F5" w:rsidRDefault="00127C6D" w:rsidP="00DE0654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DE0654">
              <w:rPr>
                <w:lang w:val="nb-NO"/>
              </w:rPr>
              <w:t xml:space="preserve">MT orienterte </w:t>
            </w:r>
            <w:proofErr w:type="spellStart"/>
            <w:r w:rsidR="00DE0654" w:rsidRPr="00DE0654">
              <w:rPr>
                <w:lang w:val="nb-NO"/>
              </w:rPr>
              <w:t>ihht</w:t>
            </w:r>
            <w:proofErr w:type="spellEnd"/>
            <w:r w:rsidR="00DE0654" w:rsidRPr="00DE0654">
              <w:rPr>
                <w:lang w:val="nb-NO"/>
              </w:rPr>
              <w:t xml:space="preserve"> sitt utsendte dokument hvor han peker på at merking av rovpattedyr (ulv, bjørn, </w:t>
            </w:r>
            <w:proofErr w:type="spellStart"/>
            <w:r w:rsidR="00DE0654" w:rsidRPr="00DE0654">
              <w:rPr>
                <w:lang w:val="nb-NO"/>
              </w:rPr>
              <w:t>jerv</w:t>
            </w:r>
            <w:proofErr w:type="spellEnd"/>
            <w:r w:rsidR="00DE0654" w:rsidRPr="00DE0654">
              <w:rPr>
                <w:lang w:val="nb-NO"/>
              </w:rPr>
              <w:t xml:space="preserve">, gaupe) kan ha konsekvenser for 1) rovdyras helse og opplevelser, 2) rovdyras forhold til </w:t>
            </w:r>
            <w:proofErr w:type="gramStart"/>
            <w:r w:rsidR="00DE0654" w:rsidRPr="00DE0654">
              <w:rPr>
                <w:lang w:val="nb-NO"/>
              </w:rPr>
              <w:t xml:space="preserve">mennesker, </w:t>
            </w:r>
            <w:r w:rsidR="00DE0654">
              <w:rPr>
                <w:lang w:val="nb-NO"/>
              </w:rPr>
              <w:t xml:space="preserve"> </w:t>
            </w:r>
            <w:r w:rsidR="00DE0654" w:rsidRPr="00DE0654">
              <w:rPr>
                <w:lang w:val="nb-NO"/>
              </w:rPr>
              <w:t>3</w:t>
            </w:r>
            <w:proofErr w:type="gramEnd"/>
            <w:r w:rsidR="00DE0654" w:rsidRPr="00DE0654">
              <w:rPr>
                <w:lang w:val="nb-NO"/>
              </w:rPr>
              <w:t>) menneskets forhold til rovdyra</w:t>
            </w:r>
            <w:r w:rsidR="00DE0654">
              <w:rPr>
                <w:lang w:val="nb-NO"/>
              </w:rPr>
              <w:t xml:space="preserve"> og </w:t>
            </w:r>
            <w:r w:rsidR="00DE0654" w:rsidRPr="00DE0654">
              <w:rPr>
                <w:lang w:val="nb-NO"/>
              </w:rPr>
              <w:t>4) rovdyras rett til "privatliv"</w:t>
            </w:r>
            <w:r w:rsidR="00DE0654">
              <w:rPr>
                <w:lang w:val="nb-NO"/>
              </w:rPr>
              <w:t>.</w:t>
            </w:r>
          </w:p>
          <w:p w:rsidR="00DE0654" w:rsidRDefault="00DE0654" w:rsidP="00DE0654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MTs dokument ble diskutert. Det var uenighet rundt rovdyras rett til privatliv, men enighet om at</w:t>
            </w:r>
            <w:r w:rsidR="00B273F9">
              <w:rPr>
                <w:lang w:val="nb-NO"/>
              </w:rPr>
              <w:t xml:space="preserve"> ville dyr ikke skal være under</w:t>
            </w:r>
            <w:r>
              <w:rPr>
                <w:lang w:val="nb-NO"/>
              </w:rPr>
              <w:t xml:space="preserve"> kontinuerlig overvåkning</w:t>
            </w:r>
          </w:p>
          <w:p w:rsidR="00DE0654" w:rsidRDefault="00DE0654" w:rsidP="00DE0654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 xml:space="preserve">Det ble besluttet å jobbe videre med en </w:t>
            </w:r>
            <w:r w:rsidR="0088683D">
              <w:rPr>
                <w:lang w:val="nb-NO"/>
              </w:rPr>
              <w:t xml:space="preserve">etisk vurdering </w:t>
            </w:r>
            <w:r w:rsidR="004D1A21">
              <w:rPr>
                <w:lang w:val="nb-NO"/>
              </w:rPr>
              <w:t>rundt</w:t>
            </w:r>
            <w:r>
              <w:rPr>
                <w:lang w:val="nb-NO"/>
              </w:rPr>
              <w:t xml:space="preserve"> merking av ville dyr, ikke bare rovpattedyr.</w:t>
            </w:r>
          </w:p>
          <w:p w:rsidR="00DE0654" w:rsidRDefault="00DE0654" w:rsidP="00DE0654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 xml:space="preserve">KE kontakter viltgruppa på </w:t>
            </w:r>
            <w:r w:rsidRPr="00DE0654">
              <w:rPr>
                <w:lang w:val="nb-NO"/>
              </w:rPr>
              <w:t>Veterinærinstituttet</w:t>
            </w:r>
            <w:r>
              <w:rPr>
                <w:lang w:val="nb-NO"/>
              </w:rPr>
              <w:t xml:space="preserve"> i et forsøk på å få oversikt over merkede dyr. Er trenden økende? Hvilket omfang snakker vi om?</w:t>
            </w:r>
          </w:p>
          <w:p w:rsidR="00DE0654" w:rsidRDefault="00DE0654" w:rsidP="00DE0654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KE kontakter forsøksdyrforvaltningen for å høre hvordan søknader om merking forvaltes i dag. Hva er godkjent grunn for å merke dyr? Hva med livslang merking eller implantater om legges i buk el?</w:t>
            </w:r>
          </w:p>
          <w:p w:rsidR="00DE0654" w:rsidRPr="00F9541E" w:rsidRDefault="00DE0654" w:rsidP="00DE0654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Målet er å ha et utkast klart for diskusjon til møtet 24. mai. Alle som har relevant informasjon sender dette til MT+ILA som er ansvarlig for sammenskrivingen.</w:t>
            </w:r>
          </w:p>
        </w:tc>
        <w:tc>
          <w:tcPr>
            <w:tcW w:w="1346" w:type="dxa"/>
          </w:tcPr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F9541E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F9541E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F9541E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F9541E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F9541E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F9541E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DE0654" w:rsidRDefault="00DE065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DE0654" w:rsidRDefault="00DE065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DE0654" w:rsidRDefault="00DE065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F9541E" w:rsidRDefault="00DE065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496E01" w:rsidRPr="00F9541E" w:rsidRDefault="00496E01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273F9" w:rsidRDefault="00B273F9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273F9" w:rsidRDefault="00B273F9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B1874" w:rsidRDefault="005B187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DE0654" w:rsidRDefault="00DE065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DE0654" w:rsidRDefault="00DE065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DE0654" w:rsidRDefault="00DE065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Alle</w:t>
            </w:r>
          </w:p>
          <w:p w:rsidR="00DE0654" w:rsidRDefault="00DE065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DE0654" w:rsidRDefault="00DE065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MT + ILA</w:t>
            </w:r>
          </w:p>
          <w:p w:rsidR="00DE0654" w:rsidRPr="00F9541E" w:rsidRDefault="00DE065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  <w:tr w:rsidR="00824928" w:rsidRPr="00F9541E" w:rsidTr="00A735DA">
        <w:tc>
          <w:tcPr>
            <w:tcW w:w="496" w:type="dxa"/>
          </w:tcPr>
          <w:p w:rsidR="00824928" w:rsidRPr="0040260D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40260D">
              <w:rPr>
                <w:rFonts w:eastAsia="Times New Roman" w:cstheme="minorHAnsi"/>
                <w:b/>
                <w:lang w:val="nb-NO"/>
              </w:rPr>
              <w:t>6</w:t>
            </w:r>
          </w:p>
        </w:tc>
        <w:tc>
          <w:tcPr>
            <w:tcW w:w="1767" w:type="dxa"/>
          </w:tcPr>
          <w:p w:rsidR="00824928" w:rsidRPr="0040260D" w:rsidRDefault="00127C6D" w:rsidP="00C24392">
            <w:pPr>
              <w:rPr>
                <w:rFonts w:eastAsia="Times New Roman" w:cstheme="minorHAnsi"/>
                <w:lang w:val="nb-NO"/>
              </w:rPr>
            </w:pPr>
            <w:r w:rsidRPr="0040260D">
              <w:rPr>
                <w:rFonts w:eastAsia="Times New Roman" w:cstheme="minorHAnsi"/>
                <w:b/>
                <w:lang w:val="nb-NO"/>
              </w:rPr>
              <w:t xml:space="preserve">Ny uttalelse om embryo-overføring på storfe </w:t>
            </w:r>
          </w:p>
        </w:tc>
        <w:tc>
          <w:tcPr>
            <w:tcW w:w="5604" w:type="dxa"/>
          </w:tcPr>
          <w:p w:rsidR="00D42982" w:rsidRPr="0040260D" w:rsidRDefault="00EB3C8D" w:rsidP="00291132">
            <w:pPr>
              <w:numPr>
                <w:ilvl w:val="0"/>
                <w:numId w:val="25"/>
              </w:numPr>
              <w:spacing w:after="0"/>
              <w:jc w:val="both"/>
              <w:rPr>
                <w:b/>
                <w:lang w:val="nb-NO"/>
              </w:rPr>
            </w:pPr>
            <w:r w:rsidRPr="0040260D">
              <w:rPr>
                <w:lang w:val="nb-NO"/>
              </w:rPr>
              <w:t xml:space="preserve">RDE </w:t>
            </w:r>
            <w:r w:rsidR="00291132" w:rsidRPr="0040260D">
              <w:rPr>
                <w:lang w:val="nb-NO"/>
              </w:rPr>
              <w:t>er positive til å lage en ny uttalelse om embryooverføring på storfe med utgangspunkt i uttalelsen fra 1998 og de oppdaterte poengene fra EF.</w:t>
            </w:r>
          </w:p>
          <w:p w:rsidR="00291132" w:rsidRPr="0040260D" w:rsidRDefault="00291132" w:rsidP="00291132">
            <w:pPr>
              <w:numPr>
                <w:ilvl w:val="0"/>
                <w:numId w:val="25"/>
              </w:numPr>
              <w:spacing w:after="0"/>
              <w:jc w:val="both"/>
              <w:rPr>
                <w:b/>
                <w:lang w:val="nb-NO"/>
              </w:rPr>
            </w:pPr>
            <w:r w:rsidRPr="0040260D">
              <w:rPr>
                <w:lang w:val="nb-NO"/>
              </w:rPr>
              <w:t xml:space="preserve">KE </w:t>
            </w:r>
            <w:r w:rsidR="0040260D">
              <w:rPr>
                <w:lang w:val="nb-NO"/>
              </w:rPr>
              <w:t xml:space="preserve">+ ILA </w:t>
            </w:r>
            <w:r w:rsidRPr="0040260D">
              <w:rPr>
                <w:lang w:val="nb-NO"/>
              </w:rPr>
              <w:t>sender ut informasjon til medlemmene om hvordan metoden utføres i dag slik at de kan ta stilling til metoden.</w:t>
            </w:r>
          </w:p>
          <w:p w:rsidR="00291132" w:rsidRPr="0040260D" w:rsidRDefault="00291132" w:rsidP="00291132">
            <w:pPr>
              <w:numPr>
                <w:ilvl w:val="0"/>
                <w:numId w:val="25"/>
              </w:numPr>
              <w:spacing w:after="0"/>
              <w:jc w:val="both"/>
              <w:rPr>
                <w:b/>
                <w:lang w:val="nb-NO"/>
              </w:rPr>
            </w:pPr>
            <w:r w:rsidRPr="0040260D">
              <w:rPr>
                <w:lang w:val="nb-NO"/>
              </w:rPr>
              <w:t xml:space="preserve">Målet er å ha et utkast klart </w:t>
            </w:r>
            <w:r w:rsidR="0040260D">
              <w:rPr>
                <w:lang w:val="nb-NO"/>
              </w:rPr>
              <w:t>for diskusjon til møtet 24. mai. KE er ansvarlig for sammenskrivingen.</w:t>
            </w:r>
          </w:p>
        </w:tc>
        <w:tc>
          <w:tcPr>
            <w:tcW w:w="1346" w:type="dxa"/>
          </w:tcPr>
          <w:p w:rsidR="0061284A" w:rsidRPr="00F9541E" w:rsidRDefault="0061284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EB3C8D" w:rsidRPr="00F9541E" w:rsidRDefault="00EB3C8D" w:rsidP="006128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EB3C8D" w:rsidRPr="00F9541E" w:rsidRDefault="00EB3C8D" w:rsidP="006128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EB3C8D" w:rsidRPr="00F9541E" w:rsidRDefault="0040260D" w:rsidP="006128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 + ILA</w:t>
            </w:r>
          </w:p>
          <w:p w:rsidR="00EB3C8D" w:rsidRPr="00F9541E" w:rsidRDefault="00EB3C8D" w:rsidP="006128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1284A" w:rsidRPr="00F9541E" w:rsidRDefault="0061284A" w:rsidP="006128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4E4EA8" w:rsidRPr="00F9541E" w:rsidRDefault="004E4EA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4E4EA8" w:rsidRPr="00F9541E" w:rsidRDefault="004E4EA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</w:tbl>
    <w:p w:rsidR="0094636C" w:rsidRDefault="0094636C">
      <w:r>
        <w:br w:type="page"/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5604"/>
        <w:gridCol w:w="1346"/>
      </w:tblGrid>
      <w:tr w:rsidR="00824928" w:rsidRPr="00F9541E" w:rsidTr="00A735DA">
        <w:tc>
          <w:tcPr>
            <w:tcW w:w="496" w:type="dxa"/>
          </w:tcPr>
          <w:p w:rsidR="00824928" w:rsidRPr="0040260D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40260D">
              <w:rPr>
                <w:rFonts w:eastAsia="Times New Roman" w:cstheme="minorHAnsi"/>
                <w:b/>
                <w:lang w:val="nb-NO"/>
              </w:rPr>
              <w:lastRenderedPageBreak/>
              <w:t>7</w:t>
            </w:r>
          </w:p>
        </w:tc>
        <w:tc>
          <w:tcPr>
            <w:tcW w:w="1767" w:type="dxa"/>
          </w:tcPr>
          <w:p w:rsidR="00824928" w:rsidRPr="0040260D" w:rsidRDefault="0040260D" w:rsidP="00AD74E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Ekskursjonen til Sveits</w:t>
            </w:r>
          </w:p>
        </w:tc>
        <w:tc>
          <w:tcPr>
            <w:tcW w:w="5604" w:type="dxa"/>
          </w:tcPr>
          <w:p w:rsidR="005347ED" w:rsidRPr="0040260D" w:rsidRDefault="0040260D" w:rsidP="00496E01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lang w:val="nb-NO"/>
              </w:rPr>
              <w:t xml:space="preserve">Fastholder </w:t>
            </w:r>
            <w:r w:rsidR="004D1A21">
              <w:rPr>
                <w:lang w:val="nb-NO"/>
              </w:rPr>
              <w:t xml:space="preserve">datoen </w:t>
            </w:r>
            <w:r>
              <w:rPr>
                <w:lang w:val="nb-NO"/>
              </w:rPr>
              <w:t xml:space="preserve">26.-29. september </w:t>
            </w:r>
          </w:p>
          <w:p w:rsidR="0040260D" w:rsidRPr="0040260D" w:rsidRDefault="0040260D" w:rsidP="0040260D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 w:rsidRPr="0040260D">
              <w:rPr>
                <w:lang w:val="nb-NO"/>
              </w:rPr>
              <w:t xml:space="preserve">Mulige temaer for uttalelser kan være merking av produkter, ulike driftsformer, sporing gjennom produksjonskjeden, </w:t>
            </w:r>
            <w:r>
              <w:rPr>
                <w:lang w:val="nb-NO"/>
              </w:rPr>
              <w:t>d</w:t>
            </w:r>
            <w:r w:rsidRPr="0040260D">
              <w:rPr>
                <w:lang w:val="nb-NO"/>
              </w:rPr>
              <w:t>yrevelferdslovgivning – ra</w:t>
            </w:r>
            <w:r w:rsidR="004D1A21">
              <w:rPr>
                <w:lang w:val="nb-NO"/>
              </w:rPr>
              <w:t>mmer, hvordan blir den brukt?</w:t>
            </w:r>
            <w:bookmarkStart w:id="0" w:name="_GoBack"/>
            <w:bookmarkEnd w:id="0"/>
          </w:p>
          <w:p w:rsidR="0040260D" w:rsidRPr="0040260D" w:rsidRDefault="0040260D" w:rsidP="0040260D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 w:rsidRPr="0040260D">
              <w:rPr>
                <w:lang w:val="nb-NO"/>
              </w:rPr>
              <w:t xml:space="preserve">Det ble fremmet ønske om å besøke både husdyrproduksjoner – f.eks. geit/gris og </w:t>
            </w:r>
            <w:r>
              <w:rPr>
                <w:lang w:val="nb-NO"/>
              </w:rPr>
              <w:t>institusjoner involvert i r</w:t>
            </w:r>
            <w:r w:rsidRPr="0040260D">
              <w:rPr>
                <w:lang w:val="nb-NO"/>
              </w:rPr>
              <w:t>egulering/forvaltning/lovverk</w:t>
            </w:r>
            <w:r>
              <w:rPr>
                <w:lang w:val="nb-NO"/>
              </w:rPr>
              <w:t>.</w:t>
            </w:r>
          </w:p>
          <w:p w:rsidR="00496E01" w:rsidRPr="0094636C" w:rsidRDefault="0040260D" w:rsidP="0094636C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lang w:val="nb-NO"/>
              </w:rPr>
              <w:t>ILA + KE undersøker alternativer for besøk og jobbere videre med å utarbeide tema for uttalelsen</w:t>
            </w:r>
          </w:p>
        </w:tc>
        <w:tc>
          <w:tcPr>
            <w:tcW w:w="1346" w:type="dxa"/>
          </w:tcPr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71775C" w:rsidRPr="00F9541E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Pr="00F9541E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Pr="00F9541E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Pr="00F9541E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Pr="00F9541E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F9541E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MT</w:t>
            </w:r>
          </w:p>
          <w:p w:rsidR="0071775C" w:rsidRPr="00F9541E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KE</w:t>
            </w:r>
          </w:p>
        </w:tc>
      </w:tr>
      <w:tr w:rsidR="00824928" w:rsidRPr="00F9541E" w:rsidTr="00A735DA">
        <w:tc>
          <w:tcPr>
            <w:tcW w:w="496" w:type="dxa"/>
          </w:tcPr>
          <w:p w:rsidR="00824928" w:rsidRPr="00F9541E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9541E">
              <w:rPr>
                <w:rFonts w:eastAsia="Times New Roman" w:cstheme="minorHAnsi"/>
                <w:b/>
                <w:lang w:val="nb-NO"/>
              </w:rPr>
              <w:t>8</w:t>
            </w:r>
          </w:p>
        </w:tc>
        <w:tc>
          <w:tcPr>
            <w:tcW w:w="1767" w:type="dxa"/>
          </w:tcPr>
          <w:p w:rsidR="00824928" w:rsidRPr="00F9541E" w:rsidRDefault="0040260D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Eventuelt</w:t>
            </w:r>
          </w:p>
        </w:tc>
        <w:tc>
          <w:tcPr>
            <w:tcW w:w="5604" w:type="dxa"/>
          </w:tcPr>
          <w:p w:rsidR="0094636C" w:rsidRPr="00F9541E" w:rsidRDefault="0094636C" w:rsidP="0094636C">
            <w:pPr>
              <w:spacing w:after="0"/>
              <w:jc w:val="both"/>
              <w:rPr>
                <w:rFonts w:cstheme="minorHAnsi"/>
                <w:color w:val="121212"/>
                <w:u w:val="single"/>
                <w:lang w:val="nb-NO"/>
              </w:rPr>
            </w:pPr>
            <w:r w:rsidRPr="00F9541E">
              <w:rPr>
                <w:rFonts w:cstheme="minorHAnsi"/>
                <w:color w:val="121212"/>
                <w:u w:val="single"/>
                <w:lang w:val="nb-NO"/>
              </w:rPr>
              <w:t>Valpefabrikker</w:t>
            </w:r>
            <w:r>
              <w:rPr>
                <w:rFonts w:cstheme="minorHAnsi"/>
                <w:color w:val="121212"/>
                <w:u w:val="single"/>
                <w:lang w:val="nb-NO"/>
              </w:rPr>
              <w:t xml:space="preserve"> og artikkel om plass og miljø</w:t>
            </w:r>
          </w:p>
          <w:p w:rsidR="004A4C6D" w:rsidRDefault="0094636C" w:rsidP="0094636C">
            <w:pPr>
              <w:pStyle w:val="Listeavsnitt"/>
              <w:numPr>
                <w:ilvl w:val="0"/>
                <w:numId w:val="32"/>
              </w:numPr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ILA sender disse til ytring.no og holder RDE oppdatert om utviklingen.</w:t>
            </w:r>
          </w:p>
          <w:p w:rsidR="0094636C" w:rsidRPr="00F9541E" w:rsidRDefault="0094636C" w:rsidP="0094636C">
            <w:pPr>
              <w:spacing w:after="0"/>
              <w:jc w:val="both"/>
              <w:rPr>
                <w:rFonts w:cstheme="minorHAnsi"/>
                <w:color w:val="121212"/>
                <w:u w:val="single"/>
                <w:lang w:val="nb-NO"/>
              </w:rPr>
            </w:pPr>
            <w:r w:rsidRPr="00F9541E">
              <w:rPr>
                <w:rFonts w:cstheme="minorHAnsi"/>
                <w:color w:val="121212"/>
                <w:u w:val="single"/>
                <w:lang w:val="nb-NO"/>
              </w:rPr>
              <w:t>Hundeloven</w:t>
            </w:r>
          </w:p>
          <w:p w:rsidR="0094636C" w:rsidRDefault="0094636C" w:rsidP="0094636C">
            <w:pPr>
              <w:pStyle w:val="Listeavsnitt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 xml:space="preserve">GL orienterte om hundeloven </w:t>
            </w:r>
            <w:proofErr w:type="spellStart"/>
            <w:r>
              <w:rPr>
                <w:rFonts w:cstheme="minorHAnsi"/>
                <w:color w:val="121212"/>
                <w:lang w:val="nb-NO"/>
              </w:rPr>
              <w:t>ihht</w:t>
            </w:r>
            <w:proofErr w:type="spellEnd"/>
            <w:r>
              <w:rPr>
                <w:rFonts w:cstheme="minorHAnsi"/>
                <w:color w:val="121212"/>
                <w:lang w:val="nb-NO"/>
              </w:rPr>
              <w:t xml:space="preserve"> til sin tekst som trekker paralleller mellom denne loven og diskrimineringsloven.</w:t>
            </w:r>
          </w:p>
          <w:p w:rsidR="0094636C" w:rsidRDefault="0094636C" w:rsidP="0094636C">
            <w:pPr>
              <w:pStyle w:val="Listeavsnitt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Det var uenighet om dette var en god sammenlikning og hvorvidt hundeloven faktisk er nødvendig for å beskytte mennesker mot hunder.</w:t>
            </w:r>
          </w:p>
          <w:p w:rsidR="0094636C" w:rsidRDefault="0094636C" w:rsidP="0094636C">
            <w:pPr>
              <w:pStyle w:val="Listeavsnitt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 xml:space="preserve">GL ønsker å erstatte særloven med en forskrift til dyrevelferdsloven og endre 4-5 paragrafer, spesielt knyttet til at alle kan avlive hunder dersom de mener det er nødvendig. </w:t>
            </w:r>
          </w:p>
          <w:p w:rsidR="0094636C" w:rsidRDefault="0094636C" w:rsidP="0094636C">
            <w:pPr>
              <w:pStyle w:val="Listeavsnitt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Et forslag om forskrift kan også inneholde et forslag til kompetansekrav hos hundeeiere og ID-merking av dyr.</w:t>
            </w:r>
          </w:p>
          <w:p w:rsidR="0094636C" w:rsidRPr="00F9541E" w:rsidRDefault="0094636C" w:rsidP="0094636C">
            <w:pPr>
              <w:pStyle w:val="Listeavsnitt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Saken vil bli tatt opp igjen på neste møte når alle har lest GLs tekst.</w:t>
            </w:r>
          </w:p>
          <w:p w:rsidR="0094636C" w:rsidRPr="0094636C" w:rsidRDefault="0094636C" w:rsidP="0094636C">
            <w:pPr>
              <w:jc w:val="both"/>
              <w:rPr>
                <w:rFonts w:cstheme="minorHAnsi"/>
                <w:color w:val="121212"/>
                <w:lang w:val="nb-NO"/>
              </w:rPr>
            </w:pPr>
          </w:p>
        </w:tc>
        <w:tc>
          <w:tcPr>
            <w:tcW w:w="1346" w:type="dxa"/>
          </w:tcPr>
          <w:p w:rsidR="00824928" w:rsidRPr="00F9541E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F9541E" w:rsidRDefault="0094636C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ILA</w:t>
            </w:r>
          </w:p>
          <w:p w:rsidR="00B56D2E" w:rsidRPr="00F9541E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41812" w:rsidRPr="00F9541E" w:rsidRDefault="00841812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56D2E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4636C" w:rsidRDefault="0094636C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4636C" w:rsidRPr="00F9541E" w:rsidRDefault="0094636C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56D2E" w:rsidRPr="00F9541E" w:rsidRDefault="00B56D2E" w:rsidP="0071775C">
            <w:pPr>
              <w:spacing w:after="0" w:line="240" w:lineRule="auto"/>
              <w:rPr>
                <w:rFonts w:eastAsia="Times New Roman" w:cstheme="minorHAnsi"/>
                <w:lang w:val="nb-NO"/>
              </w:rPr>
            </w:pPr>
          </w:p>
        </w:tc>
      </w:tr>
    </w:tbl>
    <w:p w:rsidR="0071775C" w:rsidRDefault="0071775C">
      <w:pPr>
        <w:rPr>
          <w:lang w:val="nb-NO"/>
        </w:rPr>
      </w:pPr>
    </w:p>
    <w:sectPr w:rsidR="0071775C" w:rsidSect="008249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0D" w:rsidRDefault="0040260D" w:rsidP="00A51162">
      <w:pPr>
        <w:spacing w:after="0" w:line="240" w:lineRule="auto"/>
      </w:pPr>
      <w:r>
        <w:separator/>
      </w:r>
    </w:p>
  </w:endnote>
  <w:endnote w:type="continuationSeparator" w:id="0">
    <w:p w:rsidR="0040260D" w:rsidRDefault="0040260D" w:rsidP="00A5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665681"/>
      <w:docPartObj>
        <w:docPartGallery w:val="Page Numbers (Bottom of Page)"/>
        <w:docPartUnique/>
      </w:docPartObj>
    </w:sdtPr>
    <w:sdtEndPr/>
    <w:sdtContent>
      <w:p w:rsidR="0040260D" w:rsidRDefault="0040260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21" w:rsidRPr="004D1A21">
          <w:rPr>
            <w:noProof/>
            <w:lang w:val="nb-NO"/>
          </w:rPr>
          <w:t>1</w:t>
        </w:r>
        <w:r>
          <w:fldChar w:fldCharType="end"/>
        </w:r>
      </w:p>
    </w:sdtContent>
  </w:sdt>
  <w:p w:rsidR="0040260D" w:rsidRDefault="0040260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0D" w:rsidRDefault="0040260D" w:rsidP="00A51162">
      <w:pPr>
        <w:spacing w:after="0" w:line="240" w:lineRule="auto"/>
      </w:pPr>
      <w:r>
        <w:separator/>
      </w:r>
    </w:p>
  </w:footnote>
  <w:footnote w:type="continuationSeparator" w:id="0">
    <w:p w:rsidR="0040260D" w:rsidRDefault="0040260D" w:rsidP="00A5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9D"/>
    <w:multiLevelType w:val="hybridMultilevel"/>
    <w:tmpl w:val="6A3604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B58BD"/>
    <w:multiLevelType w:val="hybridMultilevel"/>
    <w:tmpl w:val="470ACD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BA5E95"/>
    <w:multiLevelType w:val="hybridMultilevel"/>
    <w:tmpl w:val="76C4E0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533BA"/>
    <w:multiLevelType w:val="hybridMultilevel"/>
    <w:tmpl w:val="621E9F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836D6"/>
    <w:multiLevelType w:val="hybridMultilevel"/>
    <w:tmpl w:val="F9E6A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AC"/>
    <w:multiLevelType w:val="hybridMultilevel"/>
    <w:tmpl w:val="93E2EE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B0F62"/>
    <w:multiLevelType w:val="hybridMultilevel"/>
    <w:tmpl w:val="AD4E054E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5176D"/>
    <w:multiLevelType w:val="hybridMultilevel"/>
    <w:tmpl w:val="D354C8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D7ACB"/>
    <w:multiLevelType w:val="hybridMultilevel"/>
    <w:tmpl w:val="2474F9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974B11"/>
    <w:multiLevelType w:val="hybridMultilevel"/>
    <w:tmpl w:val="FE06C6C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B3F7A"/>
    <w:multiLevelType w:val="hybridMultilevel"/>
    <w:tmpl w:val="CD606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9082E"/>
    <w:multiLevelType w:val="hybridMultilevel"/>
    <w:tmpl w:val="EFAA00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F4C15"/>
    <w:multiLevelType w:val="hybridMultilevel"/>
    <w:tmpl w:val="B85C3F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41227"/>
    <w:multiLevelType w:val="hybridMultilevel"/>
    <w:tmpl w:val="46B64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313430"/>
    <w:multiLevelType w:val="hybridMultilevel"/>
    <w:tmpl w:val="2F1E0C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B02FB1"/>
    <w:multiLevelType w:val="hybridMultilevel"/>
    <w:tmpl w:val="C56C4C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5B3784"/>
    <w:multiLevelType w:val="hybridMultilevel"/>
    <w:tmpl w:val="276A71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B75EB8"/>
    <w:multiLevelType w:val="hybridMultilevel"/>
    <w:tmpl w:val="11DEF2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5E4FAC"/>
    <w:multiLevelType w:val="hybridMultilevel"/>
    <w:tmpl w:val="769A76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DC0EC2"/>
    <w:multiLevelType w:val="hybridMultilevel"/>
    <w:tmpl w:val="C8641B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083A77"/>
    <w:multiLevelType w:val="hybridMultilevel"/>
    <w:tmpl w:val="509A86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73329B"/>
    <w:multiLevelType w:val="hybridMultilevel"/>
    <w:tmpl w:val="565EE7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7A6FE5"/>
    <w:multiLevelType w:val="hybridMultilevel"/>
    <w:tmpl w:val="0D2E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14461B"/>
    <w:multiLevelType w:val="hybridMultilevel"/>
    <w:tmpl w:val="EF48600E"/>
    <w:lvl w:ilvl="0" w:tplc="0414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B33895"/>
    <w:multiLevelType w:val="hybridMultilevel"/>
    <w:tmpl w:val="E41483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AD0ECD"/>
    <w:multiLevelType w:val="hybridMultilevel"/>
    <w:tmpl w:val="0F7A1E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3A1CF9"/>
    <w:multiLevelType w:val="hybridMultilevel"/>
    <w:tmpl w:val="5BF8C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DA5D7A"/>
    <w:multiLevelType w:val="hybridMultilevel"/>
    <w:tmpl w:val="A36AA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359B2"/>
    <w:multiLevelType w:val="hybridMultilevel"/>
    <w:tmpl w:val="71F64542"/>
    <w:lvl w:ilvl="0" w:tplc="97A89E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EF3493"/>
    <w:multiLevelType w:val="hybridMultilevel"/>
    <w:tmpl w:val="443AC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12FD0"/>
    <w:multiLevelType w:val="hybridMultilevel"/>
    <w:tmpl w:val="BB149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7257A7"/>
    <w:multiLevelType w:val="hybridMultilevel"/>
    <w:tmpl w:val="EB5473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B720E8"/>
    <w:multiLevelType w:val="hybridMultilevel"/>
    <w:tmpl w:val="9A4E0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D3DF2"/>
    <w:multiLevelType w:val="hybridMultilevel"/>
    <w:tmpl w:val="3634BF22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F96CF8"/>
    <w:multiLevelType w:val="hybridMultilevel"/>
    <w:tmpl w:val="9C76DA1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5E709E"/>
    <w:multiLevelType w:val="hybridMultilevel"/>
    <w:tmpl w:val="60C498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1975D6"/>
    <w:multiLevelType w:val="hybridMultilevel"/>
    <w:tmpl w:val="B6883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45B30"/>
    <w:multiLevelType w:val="hybridMultilevel"/>
    <w:tmpl w:val="02CCA9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C3A15"/>
    <w:multiLevelType w:val="hybridMultilevel"/>
    <w:tmpl w:val="F662CD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7"/>
  </w:num>
  <w:num w:numId="4">
    <w:abstractNumId w:val="33"/>
  </w:num>
  <w:num w:numId="5">
    <w:abstractNumId w:val="19"/>
  </w:num>
  <w:num w:numId="6">
    <w:abstractNumId w:val="9"/>
  </w:num>
  <w:num w:numId="7">
    <w:abstractNumId w:val="0"/>
  </w:num>
  <w:num w:numId="8">
    <w:abstractNumId w:val="6"/>
  </w:num>
  <w:num w:numId="9">
    <w:abstractNumId w:val="22"/>
  </w:num>
  <w:num w:numId="10">
    <w:abstractNumId w:val="21"/>
  </w:num>
  <w:num w:numId="11">
    <w:abstractNumId w:val="20"/>
  </w:num>
  <w:num w:numId="12">
    <w:abstractNumId w:val="4"/>
  </w:num>
  <w:num w:numId="13">
    <w:abstractNumId w:val="23"/>
  </w:num>
  <w:num w:numId="14">
    <w:abstractNumId w:val="8"/>
  </w:num>
  <w:num w:numId="15">
    <w:abstractNumId w:val="3"/>
  </w:num>
  <w:num w:numId="16">
    <w:abstractNumId w:val="25"/>
  </w:num>
  <w:num w:numId="17">
    <w:abstractNumId w:val="35"/>
  </w:num>
  <w:num w:numId="18">
    <w:abstractNumId w:val="16"/>
  </w:num>
  <w:num w:numId="19">
    <w:abstractNumId w:val="11"/>
  </w:num>
  <w:num w:numId="20">
    <w:abstractNumId w:val="27"/>
  </w:num>
  <w:num w:numId="21">
    <w:abstractNumId w:val="32"/>
  </w:num>
  <w:num w:numId="22">
    <w:abstractNumId w:val="29"/>
  </w:num>
  <w:num w:numId="23">
    <w:abstractNumId w:val="7"/>
  </w:num>
  <w:num w:numId="24">
    <w:abstractNumId w:val="26"/>
  </w:num>
  <w:num w:numId="25">
    <w:abstractNumId w:val="30"/>
  </w:num>
  <w:num w:numId="26">
    <w:abstractNumId w:val="12"/>
  </w:num>
  <w:num w:numId="27">
    <w:abstractNumId w:val="10"/>
  </w:num>
  <w:num w:numId="28">
    <w:abstractNumId w:val="31"/>
  </w:num>
  <w:num w:numId="29">
    <w:abstractNumId w:val="2"/>
  </w:num>
  <w:num w:numId="30">
    <w:abstractNumId w:val="5"/>
  </w:num>
  <w:num w:numId="31">
    <w:abstractNumId w:val="34"/>
  </w:num>
  <w:num w:numId="32">
    <w:abstractNumId w:val="13"/>
  </w:num>
  <w:num w:numId="33">
    <w:abstractNumId w:val="36"/>
  </w:num>
  <w:num w:numId="34">
    <w:abstractNumId w:val="15"/>
  </w:num>
  <w:num w:numId="35">
    <w:abstractNumId w:val="1"/>
  </w:num>
  <w:num w:numId="36">
    <w:abstractNumId w:val="17"/>
  </w:num>
  <w:num w:numId="37">
    <w:abstractNumId w:val="38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4"/>
    <w:rsid w:val="0001125A"/>
    <w:rsid w:val="00016979"/>
    <w:rsid w:val="00083ED7"/>
    <w:rsid w:val="00095177"/>
    <w:rsid w:val="000F5B17"/>
    <w:rsid w:val="000F5DB0"/>
    <w:rsid w:val="0012015A"/>
    <w:rsid w:val="00127C6D"/>
    <w:rsid w:val="00134E37"/>
    <w:rsid w:val="00142831"/>
    <w:rsid w:val="001428D1"/>
    <w:rsid w:val="00173601"/>
    <w:rsid w:val="001A08EA"/>
    <w:rsid w:val="001B3AE7"/>
    <w:rsid w:val="001C5D29"/>
    <w:rsid w:val="001D5E01"/>
    <w:rsid w:val="00257E57"/>
    <w:rsid w:val="00272DBD"/>
    <w:rsid w:val="00291132"/>
    <w:rsid w:val="00375284"/>
    <w:rsid w:val="003D0999"/>
    <w:rsid w:val="0040260D"/>
    <w:rsid w:val="0045774F"/>
    <w:rsid w:val="00465E56"/>
    <w:rsid w:val="00496E01"/>
    <w:rsid w:val="004A4C6D"/>
    <w:rsid w:val="004D1A21"/>
    <w:rsid w:val="004E2014"/>
    <w:rsid w:val="004E4EA8"/>
    <w:rsid w:val="004F1567"/>
    <w:rsid w:val="00513D82"/>
    <w:rsid w:val="005347ED"/>
    <w:rsid w:val="00555A78"/>
    <w:rsid w:val="00571482"/>
    <w:rsid w:val="005B1874"/>
    <w:rsid w:val="005B4411"/>
    <w:rsid w:val="005E48E0"/>
    <w:rsid w:val="0060252E"/>
    <w:rsid w:val="0061284A"/>
    <w:rsid w:val="00621D5C"/>
    <w:rsid w:val="00664AD5"/>
    <w:rsid w:val="006C19FA"/>
    <w:rsid w:val="006F58DF"/>
    <w:rsid w:val="0071775C"/>
    <w:rsid w:val="00722087"/>
    <w:rsid w:val="00781156"/>
    <w:rsid w:val="00797006"/>
    <w:rsid w:val="007D3D86"/>
    <w:rsid w:val="007E5839"/>
    <w:rsid w:val="0080571B"/>
    <w:rsid w:val="00824928"/>
    <w:rsid w:val="00841812"/>
    <w:rsid w:val="0088683D"/>
    <w:rsid w:val="00887CB5"/>
    <w:rsid w:val="008F0C78"/>
    <w:rsid w:val="009239B3"/>
    <w:rsid w:val="0094636C"/>
    <w:rsid w:val="00997858"/>
    <w:rsid w:val="009A6F84"/>
    <w:rsid w:val="009D5BA9"/>
    <w:rsid w:val="009E3ECF"/>
    <w:rsid w:val="009F3D73"/>
    <w:rsid w:val="00A32277"/>
    <w:rsid w:val="00A32E43"/>
    <w:rsid w:val="00A51162"/>
    <w:rsid w:val="00A62F74"/>
    <w:rsid w:val="00A735DA"/>
    <w:rsid w:val="00A7734A"/>
    <w:rsid w:val="00A96A55"/>
    <w:rsid w:val="00AC1253"/>
    <w:rsid w:val="00AD305E"/>
    <w:rsid w:val="00AD74E8"/>
    <w:rsid w:val="00AD7817"/>
    <w:rsid w:val="00B129F5"/>
    <w:rsid w:val="00B15D20"/>
    <w:rsid w:val="00B273F9"/>
    <w:rsid w:val="00B56D2E"/>
    <w:rsid w:val="00B71074"/>
    <w:rsid w:val="00B87559"/>
    <w:rsid w:val="00BA031B"/>
    <w:rsid w:val="00BE3A74"/>
    <w:rsid w:val="00C046DE"/>
    <w:rsid w:val="00C15D59"/>
    <w:rsid w:val="00C15EEB"/>
    <w:rsid w:val="00C24392"/>
    <w:rsid w:val="00C40C44"/>
    <w:rsid w:val="00C97919"/>
    <w:rsid w:val="00CC5422"/>
    <w:rsid w:val="00D05EAA"/>
    <w:rsid w:val="00D42982"/>
    <w:rsid w:val="00D54D82"/>
    <w:rsid w:val="00D63AC1"/>
    <w:rsid w:val="00D83717"/>
    <w:rsid w:val="00D96213"/>
    <w:rsid w:val="00DC5EB5"/>
    <w:rsid w:val="00DE0654"/>
    <w:rsid w:val="00E22B73"/>
    <w:rsid w:val="00E43A46"/>
    <w:rsid w:val="00E65223"/>
    <w:rsid w:val="00EB26C7"/>
    <w:rsid w:val="00EB3C8D"/>
    <w:rsid w:val="00F133E1"/>
    <w:rsid w:val="00F2342B"/>
    <w:rsid w:val="00F31424"/>
    <w:rsid w:val="00F41261"/>
    <w:rsid w:val="00F9541E"/>
    <w:rsid w:val="00FB587D"/>
    <w:rsid w:val="00FD3397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3A74"/>
    <w:pPr>
      <w:ind w:left="720"/>
      <w:contextualSpacing/>
    </w:pPr>
  </w:style>
  <w:style w:type="character" w:customStyle="1" w:styleId="st1">
    <w:name w:val="st1"/>
    <w:rsid w:val="00824928"/>
  </w:style>
  <w:style w:type="character" w:styleId="Hyperkobling">
    <w:name w:val="Hyperlink"/>
    <w:basedOn w:val="Standardskriftforavsnitt"/>
    <w:uiPriority w:val="99"/>
    <w:unhideWhenUsed/>
    <w:rsid w:val="0082492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25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5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52E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5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52E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52E"/>
    <w:rPr>
      <w:rFonts w:ascii="Tahoma" w:hAnsi="Tahoma" w:cs="Tahoma"/>
      <w:sz w:val="16"/>
      <w:szCs w:val="16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57148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5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162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5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16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3A74"/>
    <w:pPr>
      <w:ind w:left="720"/>
      <w:contextualSpacing/>
    </w:pPr>
  </w:style>
  <w:style w:type="character" w:customStyle="1" w:styleId="st1">
    <w:name w:val="st1"/>
    <w:rsid w:val="00824928"/>
  </w:style>
  <w:style w:type="character" w:styleId="Hyperkobling">
    <w:name w:val="Hyperlink"/>
    <w:basedOn w:val="Standardskriftforavsnitt"/>
    <w:uiPriority w:val="99"/>
    <w:unhideWhenUsed/>
    <w:rsid w:val="0082492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25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5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52E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5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52E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52E"/>
    <w:rPr>
      <w:rFonts w:ascii="Tahoma" w:hAnsi="Tahoma" w:cs="Tahoma"/>
      <w:sz w:val="16"/>
      <w:szCs w:val="16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57148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5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162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5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1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ttilsynet.no/fisk_og_akvakultur/fiskevelferd/tap_av_laksefisk_i_sjo_rapport.15430/binary/Tap%20av%20laksefisk%20i%20sj%C3%B8%20rappor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40B0-F4BD-49F9-ADEE-B45D9346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315892D4</Template>
  <TotalTime>257</TotalTime>
  <Pages>4</Pages>
  <Words>961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Veterinærinstituttet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Ellingsen-Dalskau</dc:creator>
  <cp:lastModifiedBy>Ellingsen, Kristian</cp:lastModifiedBy>
  <cp:revision>9</cp:revision>
  <cp:lastPrinted>2017-08-25T08:55:00Z</cp:lastPrinted>
  <dcterms:created xsi:type="dcterms:W3CDTF">2018-02-21T17:06:00Z</dcterms:created>
  <dcterms:modified xsi:type="dcterms:W3CDTF">2018-03-06T13:37:00Z</dcterms:modified>
</cp:coreProperties>
</file>